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AF" w:rsidRPr="003044FE" w:rsidRDefault="003044FE" w:rsidP="003044FE">
      <w:pPr>
        <w:spacing w:after="3"/>
        <w:ind w:left="479" w:right="274" w:firstLine="2909"/>
        <w:jc w:val="both"/>
        <w:rPr>
          <w:lang w:val="en-US"/>
        </w:rPr>
      </w:pPr>
      <w:r w:rsidRPr="003044FE">
        <w:rPr>
          <w:rFonts w:ascii="Times New Roman" w:eastAsia="Times New Roman" w:hAnsi="Times New Roman" w:cs="Times New Roman"/>
          <w:sz w:val="26"/>
          <w:lang w:val="en-US"/>
        </w:rPr>
        <w:t xml:space="preserve">Program of </w:t>
      </w:r>
      <w:r>
        <w:rPr>
          <w:rFonts w:ascii="Times New Roman" w:eastAsia="Times New Roman" w:hAnsi="Times New Roman" w:cs="Times New Roman"/>
          <w:sz w:val="26"/>
          <w:lang w:val="en-US"/>
        </w:rPr>
        <w:t>the meetings</w:t>
      </w:r>
      <w:r w:rsidRPr="003044FE">
        <w:rPr>
          <w:rFonts w:ascii="Times New Roman" w:eastAsia="Times New Roman" w:hAnsi="Times New Roman" w:cs="Times New Roman"/>
          <w:sz w:val="26"/>
          <w:lang w:val="en-US"/>
        </w:rPr>
        <w:t xml:space="preserve"> for the implementation of the Agreement on cooperation between the Regional Commonwealth in the field of Communications and the Council of the Interparliamentary Assembly of </w:t>
      </w:r>
      <w:r>
        <w:rPr>
          <w:rFonts w:ascii="Times New Roman" w:eastAsia="Times New Roman" w:hAnsi="Times New Roman" w:cs="Times New Roman"/>
          <w:sz w:val="26"/>
          <w:lang w:val="en-US"/>
        </w:rPr>
        <w:t>the Member-States</w:t>
      </w:r>
      <w:r w:rsidRPr="003044FE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lang w:val="en-US"/>
        </w:rPr>
        <w:t>the</w:t>
      </w:r>
      <w:r w:rsidRPr="003044FE">
        <w:rPr>
          <w:rFonts w:ascii="Times New Roman" w:eastAsia="Times New Roman" w:hAnsi="Times New Roman" w:cs="Times New Roman"/>
          <w:sz w:val="26"/>
          <w:lang w:val="en-US"/>
        </w:rPr>
        <w:t>e</w:t>
      </w:r>
      <w:proofErr w:type="spellEnd"/>
      <w:r w:rsidRPr="003044FE">
        <w:rPr>
          <w:rFonts w:ascii="Times New Roman" w:eastAsia="Times New Roman" w:hAnsi="Times New Roman" w:cs="Times New Roman"/>
          <w:sz w:val="26"/>
          <w:lang w:val="en-US"/>
        </w:rPr>
        <w:t xml:space="preserve"> Commonwealth of Independent States</w:t>
      </w:r>
      <w:r w:rsidR="00E56781" w:rsidRPr="003044FE">
        <w:rPr>
          <w:rFonts w:ascii="Times New Roman" w:eastAsia="Times New Roman" w:hAnsi="Times New Roman" w:cs="Times New Roman"/>
          <w:sz w:val="26"/>
          <w:lang w:val="en-US"/>
        </w:rPr>
        <w:t>.</w:t>
      </w:r>
    </w:p>
    <w:tbl>
      <w:tblPr>
        <w:tblStyle w:val="TableGrid"/>
        <w:tblW w:w="10306" w:type="dxa"/>
        <w:tblInd w:w="-93" w:type="dxa"/>
        <w:tblCellMar>
          <w:top w:w="31" w:type="dxa"/>
          <w:left w:w="127" w:type="dxa"/>
          <w:bottom w:w="8" w:type="dxa"/>
          <w:right w:w="106" w:type="dxa"/>
        </w:tblCellMar>
        <w:tblLook w:val="04A0" w:firstRow="1" w:lastRow="0" w:firstColumn="1" w:lastColumn="0" w:noHBand="0" w:noVBand="1"/>
      </w:tblPr>
      <w:tblGrid>
        <w:gridCol w:w="617"/>
        <w:gridCol w:w="2224"/>
        <w:gridCol w:w="2368"/>
        <w:gridCol w:w="2135"/>
        <w:gridCol w:w="2962"/>
      </w:tblGrid>
      <w:tr w:rsidR="00DC4CAF">
        <w:trPr>
          <w:trHeight w:val="7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C4CAF" w:rsidRDefault="00DC4CAF">
            <w:pPr>
              <w:ind w:left="43"/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 w:rsidP="00304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44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Names of the Meetings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Executors, Deadlines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 w:rsidP="003044FE">
            <w:pPr>
              <w:ind w:left="104"/>
              <w:jc w:val="center"/>
              <w:rPr>
                <w:sz w:val="26"/>
                <w:szCs w:val="26"/>
                <w:lang w:val="en-US"/>
              </w:rPr>
            </w:pPr>
            <w:r w:rsidRPr="003044F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Financing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ind w:left="26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Notes</w:t>
            </w:r>
          </w:p>
        </w:tc>
      </w:tr>
      <w:tr w:rsidR="00DC4CAF" w:rsidRPr="003044FE">
        <w:trPr>
          <w:trHeight w:val="251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ind w:right="3"/>
              <w:jc w:val="center"/>
              <w:rPr>
                <w:lang w:val="en-US"/>
              </w:rPr>
            </w:pP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>Creation of the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Expert Council of the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- RCC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 w:rsidP="003044FE">
            <w:pPr>
              <w:spacing w:after="255"/>
              <w:jc w:val="center"/>
              <w:rPr>
                <w:lang w:val="en-US"/>
              </w:rPr>
            </w:pP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>IPA CIS Secretariat, RCC Executive Committee, IPA CIS working bodies, RCC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January 2004</w:t>
            </w:r>
            <w:r w:rsidR="00E56781"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ind w:left="15" w:right="10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At the Expense of own funds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ind w:left="7"/>
              <w:jc w:val="center"/>
              <w:rPr>
                <w:lang w:val="en-US"/>
              </w:rPr>
            </w:pP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>The composition of the Expert Council includes the heads of the working and executive bodies of the IPA CIS and RCC</w:t>
            </w:r>
          </w:p>
        </w:tc>
      </w:tr>
      <w:tr w:rsidR="00DC4CAF" w:rsidRPr="003044FE">
        <w:trPr>
          <w:trHeight w:val="693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Development of the regulatory documents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ind w:right="2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Temporary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Working Group of the Expert Council of the IPA CIS - RCC January 2004</w:t>
            </w:r>
            <w:r w:rsidR="00E56781"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>
            <w:pPr>
              <w:ind w:right="34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Expenses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will be financed by decision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Chamber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Federation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Federal Assembly of the Russian Federation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3044FE" w:rsidRDefault="003044FE" w:rsidP="003044FE">
            <w:pPr>
              <w:ind w:left="355" w:hanging="331"/>
              <w:jc w:val="center"/>
              <w:rPr>
                <w:lang w:val="en-US"/>
              </w:rPr>
            </w:pP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joint bodies of the RCC and IPA CIS in the implementation of the Agreement are guided by internal legal documents regulating their activities. </w:t>
            </w:r>
            <w:proofErr w:type="gramStart"/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>Additionally</w:t>
            </w:r>
            <w:proofErr w:type="gramEnd"/>
            <w:r w:rsid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 following are being developed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“On the Expert Council of the IPA CIS-RCC”, “On Monitoring, </w:t>
            </w:r>
            <w:r w:rsid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Editing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and Amending the Model Legislative Acts of the IPA CIS in the Field of Communications and Informatization”; “On the procedure for choosing organizations of developers of model legislative acts of the IPA CIS in the field of communications and informatization</w:t>
            </w: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DC4CAF" w:rsidRPr="00A461BC">
        <w:trPr>
          <w:trHeight w:val="2517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 w:rsidP="00A461BC">
            <w:pPr>
              <w:ind w:left="5" w:right="65" w:firstLine="542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Creation of an integrated database of regulatory legal acts based on the organization of interaction of information systems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right="62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RCC Commission on Informatization and Telecommunications, Secretariat of the IPA CIS Council, 2004</w:t>
            </w:r>
            <w:r w:rsidR="00E56781"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 w:rsidP="00A461BC">
            <w:pPr>
              <w:ind w:left="349" w:firstLine="32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At the Expense of own funds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DC4CAF">
            <w:pPr>
              <w:rPr>
                <w:lang w:val="en-US"/>
              </w:rPr>
            </w:pPr>
          </w:p>
        </w:tc>
      </w:tr>
    </w:tbl>
    <w:p w:rsidR="00DC4CAF" w:rsidRDefault="00E56781">
      <w:pPr>
        <w:spacing w:after="0"/>
        <w:ind w:right="62"/>
        <w:jc w:val="right"/>
      </w:pPr>
      <w:r>
        <w:rPr>
          <w:rFonts w:ascii="Times New Roman" w:eastAsia="Times New Roman" w:hAnsi="Times New Roman" w:cs="Times New Roman"/>
          <w:sz w:val="28"/>
        </w:rPr>
        <w:t>1</w:t>
      </w:r>
    </w:p>
    <w:tbl>
      <w:tblPr>
        <w:tblStyle w:val="TableGrid"/>
        <w:tblW w:w="10234" w:type="dxa"/>
        <w:tblInd w:w="-16" w:type="dxa"/>
        <w:tblCellMar>
          <w:top w:w="24" w:type="dxa"/>
          <w:left w:w="122" w:type="dxa"/>
          <w:right w:w="128" w:type="dxa"/>
        </w:tblCellMar>
        <w:tblLook w:val="04A0" w:firstRow="1" w:lastRow="0" w:firstColumn="1" w:lastColumn="0" w:noHBand="0" w:noVBand="1"/>
      </w:tblPr>
      <w:tblGrid>
        <w:gridCol w:w="639"/>
        <w:gridCol w:w="2347"/>
        <w:gridCol w:w="1864"/>
        <w:gridCol w:w="2290"/>
        <w:gridCol w:w="3094"/>
      </w:tblGrid>
      <w:tr w:rsidR="00DC4CAF" w:rsidRPr="00A461BC">
        <w:trPr>
          <w:trHeight w:val="280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 w:rsidP="00A461BC">
            <w:pPr>
              <w:ind w:left="144" w:firstLine="163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Formation of relevant topics and a long-term list of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 IPA CIS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model legislative acts planned for development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Pr="00A461BC" w:rsidRDefault="00A461BC" w:rsidP="00A461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Expert Council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RCC</w:t>
            </w:r>
          </w:p>
          <w:p w:rsidR="00DC4CAF" w:rsidRPr="00A461BC" w:rsidRDefault="00A461BC" w:rsidP="00A461BC">
            <w:pPr>
              <w:ind w:right="16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March 2004</w:t>
            </w:r>
            <w:r w:rsidR="00E56781"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 w:rsidP="00A461BC">
            <w:pPr>
              <w:ind w:left="358" w:firstLine="298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At the Expense of own funds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DC4CAF">
            <w:pPr>
              <w:rPr>
                <w:lang w:val="en-US"/>
              </w:rPr>
            </w:pPr>
          </w:p>
        </w:tc>
      </w:tr>
      <w:tr w:rsidR="00DC4CAF" w:rsidRPr="00A461BC">
        <w:trPr>
          <w:trHeight w:val="389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 w:rsidP="00A461BC">
            <w:pPr>
              <w:ind w:firstLine="125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Development of indicators for assessing the degree of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rapprochement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national legislation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IPA CIS member-states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for the development of integration processes in the field of communications and information</w:t>
            </w:r>
            <w:r w:rsidR="00E56781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Pr="00A461BC" w:rsidRDefault="00A461BC" w:rsidP="00A461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Expert Council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RCC</w:t>
            </w:r>
          </w:p>
          <w:p w:rsidR="00DC4CAF" w:rsidRDefault="00A461BC" w:rsidP="00A461BC">
            <w:pPr>
              <w:ind w:right="2"/>
              <w:jc w:val="center"/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2004</w:t>
            </w:r>
            <w:r w:rsidR="00E567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left="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Expenses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will be financed by decision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Chamber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Federation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Federal Assembly of the Russian Federation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DC4CAF">
            <w:pPr>
              <w:rPr>
                <w:lang w:val="en-US"/>
              </w:rPr>
            </w:pPr>
          </w:p>
        </w:tc>
      </w:tr>
      <w:tr w:rsidR="00DC4CAF">
        <w:trPr>
          <w:trHeight w:val="2770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Definition, coordination of sources and cost of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 IPA CIS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model legislative acts planned for development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Pr="00A461BC" w:rsidRDefault="00A461BC" w:rsidP="00A461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Expert Council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RCC</w:t>
            </w:r>
          </w:p>
          <w:p w:rsidR="00DC4CAF" w:rsidRDefault="00A461BC" w:rsidP="00A461BC">
            <w:pPr>
              <w:ind w:left="65"/>
              <w:jc w:val="center"/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2004</w:t>
            </w:r>
            <w:r w:rsidR="00E567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DC4CAF"/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DC4CAF"/>
        </w:tc>
      </w:tr>
      <w:tr w:rsidR="00DC4CAF" w:rsidRPr="00A461BC">
        <w:trPr>
          <w:trHeight w:val="306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Organization and holding of tenders for the elections of the organization of developers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Pr="00A461BC" w:rsidRDefault="00A461BC" w:rsidP="00A461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Expert Council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RCC</w:t>
            </w:r>
          </w:p>
          <w:p w:rsidR="00DC4CAF" w:rsidRPr="00A461BC" w:rsidRDefault="00DC4CAF">
            <w:pPr>
              <w:jc w:val="center"/>
              <w:rPr>
                <w:lang w:val="en-US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left="25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Expenses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will be financed by decision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Chamber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Federation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Federal Assembly of the Russian Federation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DC4CAF">
            <w:pPr>
              <w:rPr>
                <w:lang w:val="en-US"/>
              </w:rPr>
            </w:pPr>
          </w:p>
        </w:tc>
      </w:tr>
    </w:tbl>
    <w:p w:rsidR="00DC4CAF" w:rsidRDefault="00E56781">
      <w:pPr>
        <w:spacing w:after="3"/>
        <w:ind w:left="9970" w:hanging="10"/>
        <w:jc w:val="both"/>
      </w:pPr>
      <w:r>
        <w:rPr>
          <w:rFonts w:ascii="Times New Roman" w:eastAsia="Times New Roman" w:hAnsi="Times New Roman" w:cs="Times New Roman"/>
          <w:sz w:val="26"/>
        </w:rPr>
        <w:t>2</w:t>
      </w:r>
    </w:p>
    <w:p w:rsidR="00DC4CAF" w:rsidRDefault="00DC4CAF">
      <w:pPr>
        <w:spacing w:after="0"/>
        <w:ind w:left="-1176" w:right="11251"/>
      </w:pPr>
    </w:p>
    <w:tbl>
      <w:tblPr>
        <w:tblStyle w:val="TableGrid"/>
        <w:tblW w:w="10291" w:type="dxa"/>
        <w:tblInd w:w="-93" w:type="dxa"/>
        <w:tblCellMar>
          <w:left w:w="122" w:type="dxa"/>
          <w:right w:w="99" w:type="dxa"/>
        </w:tblCellMar>
        <w:tblLook w:val="04A0" w:firstRow="1" w:lastRow="0" w:firstColumn="1" w:lastColumn="0" w:noHBand="0" w:noVBand="1"/>
      </w:tblPr>
      <w:tblGrid>
        <w:gridCol w:w="637"/>
        <w:gridCol w:w="2329"/>
        <w:gridCol w:w="28"/>
        <w:gridCol w:w="1839"/>
        <w:gridCol w:w="36"/>
        <w:gridCol w:w="2236"/>
        <w:gridCol w:w="72"/>
        <w:gridCol w:w="3009"/>
        <w:gridCol w:w="105"/>
      </w:tblGrid>
      <w:tr w:rsidR="00DC4CAF" w:rsidRPr="00A461BC" w:rsidTr="00162FA8">
        <w:trPr>
          <w:trHeight w:val="1968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Organization of the development of the Concept of a model information code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x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CIS countries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Pr="00A461BC" w:rsidRDefault="00A461BC" w:rsidP="00A461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Expert Council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RCC</w:t>
            </w:r>
          </w:p>
          <w:p w:rsidR="00DC4CAF" w:rsidRDefault="00A461BC" w:rsidP="00A461BC">
            <w:pPr>
              <w:ind w:left="8"/>
              <w:jc w:val="center"/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2004</w:t>
            </w:r>
            <w:r w:rsidR="00E567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right="5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The budget funds of the </w:t>
            </w:r>
            <w:proofErr w:type="spellStart"/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Verkhovna</w:t>
            </w:r>
            <w:proofErr w:type="spellEnd"/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Rada of Ukraine</w:t>
            </w:r>
          </w:p>
        </w:tc>
        <w:tc>
          <w:tcPr>
            <w:tcW w:w="3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DC4CAF">
            <w:pPr>
              <w:rPr>
                <w:lang w:val="en-US"/>
              </w:rPr>
            </w:pPr>
          </w:p>
        </w:tc>
      </w:tr>
      <w:tr w:rsidR="00DC4CAF" w:rsidRPr="00A461BC" w:rsidTr="00162FA8">
        <w:trPr>
          <w:trHeight w:val="639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right="4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Monitoring of the implementation process of the adopted and recommended for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age of the IPA CIS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model legislative acts and the introduction of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results to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RCC Board of the Communications Administrations Heads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Pr="00A461BC" w:rsidRDefault="00A461BC" w:rsidP="00A461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Expert Council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RCC</w:t>
            </w:r>
          </w:p>
          <w:p w:rsidR="00DC4CAF" w:rsidRDefault="00A461BC" w:rsidP="00A461BC">
            <w:pPr>
              <w:ind w:right="11"/>
              <w:jc w:val="center"/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2004</w:t>
            </w:r>
            <w:r w:rsidR="00E567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right="24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Expenses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will be financed by decision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Chamber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Federation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Federal Assembly of the Russian Federation</w:t>
            </w:r>
          </w:p>
        </w:tc>
        <w:tc>
          <w:tcPr>
            <w:tcW w:w="3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right="29"/>
              <w:jc w:val="center"/>
              <w:rPr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Monitoring is carried out according to the current model laws “On the principles of regulating information relations in the CIS member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states”; “On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t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ransboundary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atellite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t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elevision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roadcasting and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nternational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atellite </w:t>
            </w:r>
            <w:proofErr w:type="gramStart"/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nformation“ On</w:t>
            </w:r>
            <w:proofErr w:type="gramEnd"/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cientific and </w:t>
            </w:r>
            <w:r w:rsid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t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echnical Information ”; “On personal data”; “On electronic digital signature”; “On the international information“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;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“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On telecommunications ”</w:t>
            </w:r>
          </w:p>
        </w:tc>
      </w:tr>
      <w:tr w:rsidR="00DC4CAF" w:rsidRPr="00A461BC" w:rsidTr="00162FA8">
        <w:trPr>
          <w:trHeight w:val="4733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E23134" w:rsidRDefault="00E23134" w:rsidP="00E23134">
            <w:pPr>
              <w:ind w:left="22" w:right="74" w:firstLine="264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P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>nalysis of the harmonization and approximation of the national legislation of the IPA CIS member</w:t>
            </w:r>
            <w:r w:rsidR="001865A4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E2313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states in the field of communications and informatization and its introduction for consideration by the IPA CIS Council and the RCC </w:t>
            </w:r>
            <w:r w:rsidR="001865A4">
              <w:rPr>
                <w:rFonts w:ascii="Times New Roman" w:eastAsia="Times New Roman" w:hAnsi="Times New Roman" w:cs="Times New Roman"/>
                <w:sz w:val="24"/>
                <w:lang w:val="en-US"/>
              </w:rPr>
              <w:t>Board of the Communications Administrations Heads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Pr="00A461BC" w:rsidRDefault="00A461BC" w:rsidP="00A461BC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Expert Council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IPA CIS RCC</w:t>
            </w:r>
          </w:p>
          <w:p w:rsidR="00DC4CAF" w:rsidRDefault="00A461BC" w:rsidP="00A461BC">
            <w:pPr>
              <w:ind w:right="45"/>
              <w:jc w:val="center"/>
            </w:pP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>2004</w:t>
            </w:r>
            <w:r w:rsidR="00E5678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right="58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Expenses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will be financed by decision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Chamber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Federation Council</w:t>
            </w:r>
            <w:r w:rsidRPr="003044F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of the Federal Assembly of the Russian Federation</w:t>
            </w:r>
          </w:p>
        </w:tc>
        <w:tc>
          <w:tcPr>
            <w:tcW w:w="3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DC4CAF">
            <w:pPr>
              <w:rPr>
                <w:lang w:val="en-US"/>
              </w:rPr>
            </w:pPr>
          </w:p>
        </w:tc>
      </w:tr>
      <w:tr w:rsidR="00DC4CAF" w:rsidTr="00162FA8">
        <w:tblPrEx>
          <w:tblCellMar>
            <w:top w:w="49" w:type="dxa"/>
            <w:left w:w="125" w:type="dxa"/>
            <w:right w:w="120" w:type="dxa"/>
          </w:tblCellMar>
        </w:tblPrEx>
        <w:trPr>
          <w:gridAfter w:val="1"/>
          <w:wAfter w:w="105" w:type="dxa"/>
          <w:trHeight w:val="845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CAF" w:rsidRPr="00A461BC" w:rsidRDefault="00DC4CAF">
            <w:pPr>
              <w:ind w:left="26"/>
              <w:rPr>
                <w:lang w:val="en-US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 w:rsidP="00A461BC">
            <w:pPr>
              <w:ind w:left="439" w:hanging="413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Names of the Meetings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Executors, deadlines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 w:rsidP="00A461BC">
            <w:pPr>
              <w:ind w:left="7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Financing</w:t>
            </w:r>
          </w:p>
        </w:tc>
        <w:tc>
          <w:tcPr>
            <w:tcW w:w="3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ind w:right="14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Notes</w:t>
            </w:r>
          </w:p>
        </w:tc>
      </w:tr>
      <w:tr w:rsidR="00DC4CAF" w:rsidRPr="00162FA8" w:rsidTr="00162FA8">
        <w:tblPrEx>
          <w:tblCellMar>
            <w:top w:w="49" w:type="dxa"/>
            <w:left w:w="125" w:type="dxa"/>
            <w:right w:w="120" w:type="dxa"/>
          </w:tblCellMar>
        </w:tblPrEx>
        <w:trPr>
          <w:gridAfter w:val="1"/>
          <w:wAfter w:w="105" w:type="dxa"/>
          <w:trHeight w:val="3061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Default="00E5678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162FA8" w:rsidRDefault="00162FA8" w:rsidP="00162FA8">
            <w:pPr>
              <w:ind w:left="12" w:right="27" w:firstLine="38"/>
              <w:jc w:val="center"/>
              <w:rPr>
                <w:lang w:val="en-US"/>
              </w:rPr>
            </w:pPr>
            <w:r w:rsidRPr="00162FA8">
              <w:rPr>
                <w:rFonts w:ascii="Times New Roman" w:eastAsia="Times New Roman" w:hAnsi="Times New Roman" w:cs="Times New Roman"/>
                <w:sz w:val="24"/>
                <w:lang w:val="en-US"/>
              </w:rPr>
              <w:t>Mutual participation of representatives of IPA CIS and RCC in forums and events aimed at harmonizing national legislations in the field of communications and informatization</w:t>
            </w: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BC" w:rsidRDefault="00A461B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IPA CIS Secretariat and the RCC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Executive Committee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DC4CAF" w:rsidRPr="00A461BC" w:rsidRDefault="00A461BC">
            <w:pPr>
              <w:ind w:right="5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Permanently</w:t>
            </w:r>
            <w:r w:rsidRPr="00A461B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A461BC" w:rsidRDefault="00A461BC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At the Expense of own funds</w:t>
            </w:r>
          </w:p>
        </w:tc>
        <w:tc>
          <w:tcPr>
            <w:tcW w:w="3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CAF" w:rsidRPr="00162FA8" w:rsidRDefault="00162FA8" w:rsidP="00162FA8">
            <w:pPr>
              <w:ind w:firstLine="101"/>
              <w:jc w:val="center"/>
              <w:rPr>
                <w:lang w:val="en-US"/>
              </w:rPr>
            </w:pPr>
            <w:r w:rsidRPr="00162FA8">
              <w:rPr>
                <w:rFonts w:ascii="Times New Roman" w:eastAsia="Times New Roman" w:hAnsi="Times New Roman" w:cs="Times New Roman"/>
                <w:sz w:val="24"/>
                <w:lang w:val="en-US"/>
              </w:rPr>
              <w:t>According to an annually agreed schedule. The IPA CIS Secretariat and the RCC Executive Committee provide relevant official invitations</w:t>
            </w:r>
            <w:r w:rsidR="00E56781" w:rsidRPr="00162FA8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</w:tbl>
    <w:p w:rsidR="00162FA8" w:rsidRDefault="00162FA8" w:rsidP="00162FA8">
      <w:pPr>
        <w:spacing w:after="0" w:line="252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Annex</w:t>
      </w:r>
      <w:r w:rsidRPr="00162FA8">
        <w:rPr>
          <w:rFonts w:ascii="Times New Roman" w:eastAsia="Times New Roman" w:hAnsi="Times New Roman" w:cs="Times New Roman"/>
          <w:sz w:val="24"/>
          <w:lang w:val="en-US"/>
        </w:rPr>
        <w:t xml:space="preserve">: Mechanism for the implementation of the Agreement on cooperation between the Regional Commonwealth in the field of Communications and the Council of the Inter-Parliamentary Assembly of </w:t>
      </w:r>
      <w:r>
        <w:rPr>
          <w:rFonts w:ascii="Times New Roman" w:eastAsia="Times New Roman" w:hAnsi="Times New Roman" w:cs="Times New Roman"/>
          <w:sz w:val="24"/>
          <w:lang w:val="en-US"/>
        </w:rPr>
        <w:t>the Member-States</w:t>
      </w:r>
      <w:r w:rsidRPr="00162F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162FA8">
        <w:rPr>
          <w:rFonts w:ascii="Times New Roman" w:eastAsia="Times New Roman" w:hAnsi="Times New Roman" w:cs="Times New Roman"/>
          <w:sz w:val="24"/>
          <w:lang w:val="en-US"/>
        </w:rPr>
        <w:t xml:space="preserve"> the Commonwealth of Independent States</w:t>
      </w:r>
      <w:r>
        <w:rPr>
          <w:rFonts w:ascii="Times New Roman" w:eastAsia="Times New Roman" w:hAnsi="Times New Roman" w:cs="Times New Roman"/>
          <w:sz w:val="24"/>
          <w:lang w:val="en-US"/>
        </w:rPr>
        <w:br/>
      </w:r>
      <w:r w:rsidRPr="00162FA8">
        <w:rPr>
          <w:rFonts w:ascii="Times New Roman" w:eastAsia="Times New Roman" w:hAnsi="Times New Roman" w:cs="Times New Roman"/>
          <w:sz w:val="24"/>
          <w:lang w:val="en-US"/>
        </w:rPr>
        <w:t xml:space="preserve">From the Regional Commonwealth in the </w:t>
      </w:r>
      <w:r w:rsidR="00263DE1">
        <w:rPr>
          <w:rFonts w:ascii="Times New Roman" w:eastAsia="Times New Roman" w:hAnsi="Times New Roman" w:cs="Times New Roman"/>
          <w:sz w:val="24"/>
          <w:lang w:val="en-US"/>
        </w:rPr>
        <w:t>field</w:t>
      </w:r>
      <w:r w:rsidRPr="00162FA8">
        <w:rPr>
          <w:rFonts w:ascii="Times New Roman" w:eastAsia="Times New Roman" w:hAnsi="Times New Roman" w:cs="Times New Roman"/>
          <w:sz w:val="24"/>
          <w:lang w:val="en-US"/>
        </w:rPr>
        <w:t xml:space="preserve"> of Communications</w:t>
      </w:r>
    </w:p>
    <w:p w:rsidR="00263DE1" w:rsidRPr="00162FA8" w:rsidRDefault="00263DE1" w:rsidP="00162FA8">
      <w:pPr>
        <w:spacing w:after="0" w:line="252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General Director of the Executive Committee of the Regional Commonwealth in the field of Communications</w:t>
      </w:r>
    </w:p>
    <w:p w:rsidR="00162FA8" w:rsidRPr="00162FA8" w:rsidRDefault="00162FA8" w:rsidP="00162FA8">
      <w:pPr>
        <w:spacing w:after="0" w:line="252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162FA8">
        <w:rPr>
          <w:rFonts w:ascii="Times New Roman" w:eastAsia="Times New Roman" w:hAnsi="Times New Roman" w:cs="Times New Roman"/>
          <w:sz w:val="24"/>
          <w:lang w:val="en-US"/>
        </w:rPr>
        <w:t xml:space="preserve">N. N. </w:t>
      </w:r>
      <w:proofErr w:type="spellStart"/>
      <w:r w:rsidRPr="00162FA8">
        <w:rPr>
          <w:rFonts w:ascii="Times New Roman" w:eastAsia="Times New Roman" w:hAnsi="Times New Roman" w:cs="Times New Roman"/>
          <w:sz w:val="24"/>
          <w:lang w:val="en-US"/>
        </w:rPr>
        <w:t>Mukhitdinov</w:t>
      </w:r>
      <w:proofErr w:type="spellEnd"/>
    </w:p>
    <w:p w:rsidR="00162FA8" w:rsidRDefault="00162FA8" w:rsidP="00162FA8">
      <w:pPr>
        <w:spacing w:after="0" w:line="252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162FA8">
        <w:rPr>
          <w:rFonts w:ascii="Times New Roman" w:eastAsia="Times New Roman" w:hAnsi="Times New Roman" w:cs="Times New Roman"/>
          <w:sz w:val="24"/>
          <w:lang w:val="en-US"/>
        </w:rPr>
        <w:t>October 2003</w:t>
      </w:r>
    </w:p>
    <w:p w:rsidR="00263DE1" w:rsidRPr="00263DE1" w:rsidRDefault="00263DE1" w:rsidP="00263DE1">
      <w:pPr>
        <w:tabs>
          <w:tab w:val="center" w:pos="1490"/>
          <w:tab w:val="center" w:pos="6142"/>
        </w:tabs>
        <w:spacing w:after="0" w:line="252" w:lineRule="auto"/>
        <w:ind w:left="-10"/>
        <w:rPr>
          <w:rFonts w:ascii="Times New Roman" w:hAnsi="Times New Roman" w:cs="Times New Roman"/>
          <w:sz w:val="24"/>
          <w:szCs w:val="24"/>
          <w:lang w:val="en-US"/>
        </w:rPr>
      </w:pPr>
      <w:r w:rsidRPr="00263DE1">
        <w:rPr>
          <w:rFonts w:ascii="Times New Roman" w:hAnsi="Times New Roman" w:cs="Times New Roman"/>
          <w:sz w:val="24"/>
          <w:szCs w:val="24"/>
          <w:lang w:val="en-US"/>
        </w:rPr>
        <w:t>From the Council of the Interparliamentary Assembly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63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Member-States</w:t>
      </w:r>
      <w:r w:rsidRPr="00263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bookmarkStart w:id="0" w:name="_GoBack"/>
      <w:bookmarkEnd w:id="0"/>
      <w:r w:rsidRPr="00263DE1">
        <w:rPr>
          <w:rFonts w:ascii="Times New Roman" w:hAnsi="Times New Roman" w:cs="Times New Roman"/>
          <w:sz w:val="24"/>
          <w:szCs w:val="24"/>
          <w:lang w:val="en-US"/>
        </w:rPr>
        <w:t xml:space="preserve"> the Commonwealth of Independent States</w:t>
      </w:r>
    </w:p>
    <w:p w:rsidR="00263DE1" w:rsidRPr="00263DE1" w:rsidRDefault="00263DE1" w:rsidP="00263DE1">
      <w:pPr>
        <w:tabs>
          <w:tab w:val="center" w:pos="1490"/>
          <w:tab w:val="center" w:pos="6142"/>
        </w:tabs>
        <w:spacing w:after="0" w:line="252" w:lineRule="auto"/>
        <w:ind w:left="-10"/>
        <w:rPr>
          <w:rFonts w:ascii="Times New Roman" w:hAnsi="Times New Roman" w:cs="Times New Roman"/>
          <w:sz w:val="24"/>
          <w:szCs w:val="24"/>
          <w:lang w:val="en-US"/>
        </w:rPr>
      </w:pPr>
      <w:r w:rsidRPr="00263DE1">
        <w:rPr>
          <w:rFonts w:ascii="Times New Roman" w:hAnsi="Times New Roman" w:cs="Times New Roman"/>
          <w:sz w:val="24"/>
          <w:szCs w:val="24"/>
          <w:lang w:val="en-US"/>
        </w:rPr>
        <w:t>Secretary General of the Council of the Interparliamentary Assembly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63DE1">
        <w:rPr>
          <w:rFonts w:ascii="Times New Roman" w:hAnsi="Times New Roman" w:cs="Times New Roman"/>
          <w:sz w:val="24"/>
          <w:szCs w:val="24"/>
          <w:lang w:val="en-US"/>
        </w:rPr>
        <w:t xml:space="preserve"> CIS Member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63DE1">
        <w:rPr>
          <w:rFonts w:ascii="Times New Roman" w:hAnsi="Times New Roman" w:cs="Times New Roman"/>
          <w:sz w:val="24"/>
          <w:szCs w:val="24"/>
          <w:lang w:val="en-US"/>
        </w:rPr>
        <w:t>States</w:t>
      </w:r>
    </w:p>
    <w:p w:rsidR="00263DE1" w:rsidRPr="00263DE1" w:rsidRDefault="00263DE1" w:rsidP="00263DE1">
      <w:pPr>
        <w:tabs>
          <w:tab w:val="center" w:pos="1490"/>
          <w:tab w:val="center" w:pos="6142"/>
        </w:tabs>
        <w:spacing w:after="0" w:line="252" w:lineRule="auto"/>
        <w:ind w:left="-10"/>
        <w:rPr>
          <w:rFonts w:ascii="Times New Roman" w:hAnsi="Times New Roman" w:cs="Times New Roman"/>
          <w:sz w:val="24"/>
          <w:szCs w:val="24"/>
          <w:lang w:val="en-US"/>
        </w:rPr>
      </w:pPr>
      <w:r w:rsidRPr="00263DE1">
        <w:rPr>
          <w:rFonts w:ascii="Times New Roman" w:hAnsi="Times New Roman" w:cs="Times New Roman"/>
          <w:sz w:val="24"/>
          <w:szCs w:val="24"/>
        </w:rPr>
        <w:t xml:space="preserve">M.I.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Krotov</w:t>
      </w:r>
      <w:proofErr w:type="spellEnd"/>
    </w:p>
    <w:p w:rsidR="00DC4CAF" w:rsidRPr="00263DE1" w:rsidRDefault="00263DE1" w:rsidP="00263DE1">
      <w:pPr>
        <w:tabs>
          <w:tab w:val="center" w:pos="1490"/>
          <w:tab w:val="center" w:pos="6142"/>
        </w:tabs>
        <w:spacing w:after="0" w:line="252" w:lineRule="auto"/>
        <w:ind w:left="-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263DE1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DC4CAF" w:rsidRDefault="00DC4CAF">
      <w:pPr>
        <w:spacing w:after="0"/>
        <w:jc w:val="right"/>
      </w:pPr>
    </w:p>
    <w:sectPr w:rsidR="00DC4CAF" w:rsidSect="00162FA8">
      <w:pgSz w:w="12240" w:h="16840"/>
      <w:pgMar w:top="1001" w:right="1109" w:bottom="442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F"/>
    <w:rsid w:val="00162FA8"/>
    <w:rsid w:val="001865A4"/>
    <w:rsid w:val="00263DE1"/>
    <w:rsid w:val="003044FE"/>
    <w:rsid w:val="00A461BC"/>
    <w:rsid w:val="00DC4CAF"/>
    <w:rsid w:val="00E23134"/>
    <w:rsid w:val="00E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333"/>
  <w15:docId w15:val="{DA447EB4-ECA6-4650-A0CF-84AAB2F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4</cp:revision>
  <dcterms:created xsi:type="dcterms:W3CDTF">2019-12-16T20:17:00Z</dcterms:created>
  <dcterms:modified xsi:type="dcterms:W3CDTF">2019-12-22T13:37:00Z</dcterms:modified>
</cp:coreProperties>
</file>